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от 29.12.2020 № 2228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                     и автономным учреждениям субсидий на иные цели»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>
      <w:pPr>
        <w:pStyle w:val="Normal"/>
        <w:spacing w:lineRule="auto" w:line="240" w:before="0" w:after="0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прилагаемые изменения, которые вносятся                                      в Порядок определения объема и условий предоставления из бюджета города Ставрополя субсидий на иные цели муниципальным бюджетным                  и автономным учреждениям города Ставрополя,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от 29.12.2020 № 2228 «Об утверждении Порядка определения объема и условий предоставления из бюджета города Ставрополя субсидий на иные цели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Ставрополя».</w:t>
      </w:r>
    </w:p>
    <w:p>
      <w:pPr>
        <w:pStyle w:val="ConsPlusTitle1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>
      <w:pPr>
        <w:pStyle w:val="ConsPlusTitle1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ConsPlusTitle11"/>
        <w:ind w:firstLine="709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4. Контроль исполнения настоящего постановления возложить                                   на первого заместителя главы администрации города Ставрополя              Диреганову А.В.</w:t>
      </w:r>
    </w:p>
    <w:p>
      <w:pPr>
        <w:pStyle w:val="ConsPlusTitle11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  И.И. Ульянченко</w:t>
      </w:r>
      <w:r>
        <w:br w:type="page"/>
      </w:r>
    </w:p>
    <w:p>
      <w:pPr>
        <w:pStyle w:val="Normal"/>
        <w:spacing w:lineRule="auto" w:line="240" w:before="0" w:after="0"/>
        <w:ind w:hanging="0" w:left="5387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>
      <w:pPr>
        <w:pStyle w:val="Normal"/>
        <w:spacing w:lineRule="auto" w:line="240" w:before="0" w:after="0"/>
        <w:ind w:hanging="0" w:left="5387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40" w:before="0" w:after="0"/>
        <w:ind w:hanging="0" w:left="5387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 города  Ставрополя</w:t>
      </w:r>
    </w:p>
    <w:p>
      <w:pPr>
        <w:pStyle w:val="Normal"/>
        <w:spacing w:lineRule="auto" w:line="240" w:before="0" w:after="0"/>
        <w:ind w:hanging="0" w:left="5387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№ </w:t>
      </w:r>
    </w:p>
    <w:p>
      <w:pPr>
        <w:pStyle w:val="Normal"/>
        <w:spacing w:lineRule="auto" w:line="240" w:before="0" w:after="0"/>
        <w:ind w:hanging="0" w:left="5387" w:right="0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ind w:hanging="0" w:left="5387" w:right="0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Порядок определения объема и условий предоставления из бюджета города Ставрополя субсидий на иные цели муниципальным бюджетным и автономным учреждениям города Ставрополя, подведомственным комитету культуры и молодежной политики администрации города Ставрополя, утвержденный постановлением администрации города Ставрополя от 29.12.2020 № 2228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пункте 2 раздела I «Общие положения о предоставлении субсидий»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ополнить подпунктом 42 следующего содержания: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«42) организация и (или) участие в выездных мероприятиях за пределами города Ставрополя с целью популяризации культуры Ставрополья, развития сотрудничества с другими территориями Российской Федерации и зарубежья.».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разделе II «Условия и порядок предоставления субсидий»: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дополнить подпунктом 42 следующего содержания: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«42) для получения субсидии, предусмотренной в подпункте 42 </w:t>
        <w:br/>
        <w:t>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сведения о количестве планируемых выездных мероприятий за предел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города Ставрополя;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смету расходов на организацию и участие в выездных мероприятиях за предел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города Ставрополя.»;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18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«18. Результатами предоставления субсидий являются: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на цель, указанную в подпункте 1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культурно-массовых мероприятий, посвященных памятным, знаменательным и юбилейным датам в истории России, Ставропольского края, города Ставрополя;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на цель, указанную в подпункте 2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 для детей и молодежи города Ставрополя;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 цель, указанную в подпункте 3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фестивалей и конкурсов исполнительского </w:t>
      </w:r>
      <w:r>
        <w:rPr>
          <w:rFonts w:ascii="Times New Roman" w:hAnsi="Times New Roman"/>
          <w:color w:val="000000"/>
          <w:sz w:val="28"/>
        </w:rPr>
        <w:t>мастерства</w:t>
      </w:r>
      <w:r>
        <w:rPr>
          <w:rFonts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 цель, указанную в подпункте 4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музыкальных инструментов, оборудования и материалов, приобретенных муниципальными образовательными организациями дополнительного образования (детские школы искусств) по видам искусств; </w:t>
      </w:r>
    </w:p>
    <w:p>
      <w:pPr>
        <w:pStyle w:val="Normal"/>
        <w:spacing w:lineRule="auto" w:line="240" w:before="0" w:after="0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на цель, указанную в подпункте 5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2675255</wp:posOffset>
                </wp:positionH>
                <wp:positionV relativeFrom="paragraph">
                  <wp:posOffset>-445770</wp:posOffset>
                </wp:positionV>
                <wp:extent cx="525145" cy="405765"/>
                <wp:effectExtent l="6985" t="6350" r="6350" b="6985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0" cy="405720"/>
                        </a:xfrm>
                        <a:custGeom>
                          <a:avLst/>
                          <a:gdLst>
                            <a:gd name="textAreaLeft" fmla="*/ 0 w 297720"/>
                            <a:gd name="textAreaRight" fmla="*/ 298080 w 297720"/>
                            <a:gd name="textAreaTop" fmla="*/ 0 h 230040"/>
                            <a:gd name="textAreaBottom" fmla="*/ 230400 h 23004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before="0" w:after="20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8"/>
        </w:rPr>
        <w:t>количество проведенных мероприятий, направленных на поддержку молодежных общественных организаций;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на цель, указанную в подпункте 6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организованных конференций, семинаров, выставок, переговоров, встреч, совещаний, съездов, конгрессов, в том числе в рамках международного сотрудничества;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на цель, указанную в подпункте 7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выполненных мероприятий по обеспечению доступности учреждений в сфере культуры маломобильными группами населения;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на цель, указанную в подпункте 8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мероприятий, направленных на сохранение объектов культурного наследия, находящихся на территории города Ставрополя, предусматривающих текущий ремонт, реставрацию, приспособление объектов культурного наследия для современного использования и включающих в себя научно-исследовательские, проектные и производственные работы, научное руководство проведением работ по сохранению объектов культурного наследия, технический и авторский надзор за проведением этих работ в соответствии со статьей 40 Федерального закона от 25 июня 2002 г. № 73-ФЗ «Об объектах культурного наследия (памятниках истории и культуры) народов Российской Федерации»;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на цель, указанную в подпункте 11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модернизированных объектов нефинансовых активов, отнесенных к движимому имуществу, за исключением нематериальных активов;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на цель, указанную в подпункте 12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приобретенных основных средств;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на цель, указанную в подпункте 13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работ по обследованию технического состояния зданий и сооружений, закрепленных за учреждением в установленном порядке на праве оперативного управления, подлежащих реконструкции или ремонту, с целью определения плана ремонтных (реставрационных) работ;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на цель, указанную в подпункте 14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проведенных работ по обследованию технического состояния зданий и сооружений, закрепленных за учреждением в установленном порядке на праве оперативного управления, в отношении которых выполнены инженерные изыскания, подготовка проектной документации для ремонтно-реставрационных и ремонтных работ, проведена государственная экспертиза;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на цель, указанную в подпункте 15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работ по обследованию технического состояния зданий и сооружений, закрепленных за учреждением в установленном порядке на праве оперативного управления, в которых проведен капитальный ремонт;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2802890</wp:posOffset>
                </wp:positionH>
                <wp:positionV relativeFrom="paragraph">
                  <wp:posOffset>-445135</wp:posOffset>
                </wp:positionV>
                <wp:extent cx="381635" cy="334010"/>
                <wp:effectExtent l="6985" t="6350" r="6350" b="6985"/>
                <wp:wrapNone/>
                <wp:docPr id="2" name="Pictur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" cy="334080"/>
                        </a:xfrm>
                        <a:custGeom>
                          <a:avLst/>
                          <a:gdLst>
                            <a:gd name="textAreaLeft" fmla="*/ 0 w 216360"/>
                            <a:gd name="textAreaRight" fmla="*/ 216720 w 216360"/>
                            <a:gd name="textAreaTop" fmla="*/ 0 h 189360"/>
                            <a:gd name="textAreaBottom" fmla="*/ 189720 h 189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before="0" w:after="20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8"/>
        </w:rPr>
        <w:t>14) на цель, указанную в подпункте 16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объектов недвижимого имущества учреждения, в которых проведен текущий ремонт сверх норматива, учтенного при формировании муниципального задания;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на цель, указанную в подпункте 17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мероприятий по содержанию законсервированных объектов капитального строительства муниципальной собственности города Ставрополя;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на цель, указанную в подпункте 18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благоустроенных земельных участков, закрепленных за учреждениями в установленном порядке (в том числе на приобретение и установку, замену, ремонт ограждений территорий муниципальных учреждений);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на цель, указанную в подпункте 19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объектов недвижимого имущества учреждения, в отношении которых зарегистрировано право оперативного управления;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на цель, указанную в подпункте 20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осуществленных мероприятий по мобилизационной подготовке, гражданской обороне, предотвращению и ликвидации чрезвычайных ситуаций (осуществлени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восстановительных работ)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города Ставрополя, и иных мероприятий по предотвращению, ликвидации чрезвычайных ситуаций;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на цель, указанную в подпункте 21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полученных  энергетических паспортов объекта;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 на цель, указанную в подпункте 22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 по энергосбережению и повышению энергоэффективности;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21) на цель, указанную в подпункте 23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мероприятий, направленных на профилактику терроризма, экстремизма, межнациональных (межэтнических) конфликтов в городе Ставрополе;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22) на цель, указанную в подпункте 24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выполненных мероприятий строительного контроля, технического и авторского надзора, проведенных работ по подключению к линиям связи, электрического снабжения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23) на цель, указанную в подпункте 25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выполненных противопожарных мероприятий;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24) на цель, указанную в подпункте 26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реализованных мероприятий в области информационных технологий, включая внедрение современных информационных систем в учреждении;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2802890</wp:posOffset>
                </wp:positionH>
                <wp:positionV relativeFrom="paragraph">
                  <wp:posOffset>-835660</wp:posOffset>
                </wp:positionV>
                <wp:extent cx="436880" cy="389255"/>
                <wp:effectExtent l="6350" t="6350" r="6985" b="6985"/>
                <wp:wrapNone/>
                <wp:docPr id="3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" cy="389160"/>
                        </a:xfrm>
                        <a:custGeom>
                          <a:avLst/>
                          <a:gdLst>
                            <a:gd name="textAreaLeft" fmla="*/ 0 w 247680"/>
                            <a:gd name="textAreaRight" fmla="*/ 248040 w 247680"/>
                            <a:gd name="textAreaTop" fmla="*/ 0 h 220680"/>
                            <a:gd name="textAreaBottom" fmla="*/ 221040 h 22068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before="0" w:after="20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8"/>
        </w:rPr>
        <w:t>25) на цель, указанную в подпункте 27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 по ликвидации или реорганизации учреждения, изменению типа учреждения;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26) на цель, указанную в подпункте 28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исполненных судебных актов, вступивших в законную силу, и (или) исполнительных документов;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27) на цель, указанную в подпункте 29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лиц, прошедших повышение квалификации, переподготовку, в том числе стажировку; 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28) на цель, указанную в подпункте 30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проведенных мероприятий, направленных на создание </w:t>
      </w:r>
      <w:r>
        <w:rPr>
          <w:rFonts w:ascii="Times New Roman" w:hAnsi="Times New Roman"/>
          <w:sz w:val="28"/>
        </w:rPr>
        <w:t>высокого</w:t>
      </w:r>
      <w:r>
        <w:rPr>
          <w:rFonts w:ascii="Times New Roman" w:hAnsi="Times New Roman"/>
          <w:sz w:val="28"/>
        </w:rPr>
        <w:t xml:space="preserve"> уровня безопасности жизнедеятельности города Ставрополя;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29) на цель, указанную в подпункте 31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мероприятий, связанных с профилактикой и (или) устранением последствий распространения новой коронавирусной инфекции COVID-19;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30) на цель, указанную в подпункте 32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количество мобильных зимних комплексов с инфраструктурой, в </w:t>
      </w:r>
      <w:r>
        <w:rPr>
          <w:rFonts w:ascii="Times New Roman" w:hAnsi="Times New Roman"/>
          <w:color w:val="000000"/>
          <w:sz w:val="28"/>
        </w:rPr>
        <w:t>отношении которых осуществляется монтаж, демонтаж и хранение;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31) на цель, указанную в подпункте 33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 в рамках акции «Чистая память»;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32) на цель, указанную в подпункте 34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приобретенных материальных запасов, затраты на приобретение которых не учтены при определении объема финансового обеспечения выполнения муниципального задания на оказание муниципальных услуг (выполнение работ);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33) на цель, указанную в подпункте 35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созданных модельных муниципальных библиотек;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34) на цель, указанную в подпункте 36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капитально отремонтированных или реконструированных объектов недвижимого имущества учреждения;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35) на цель, указанную в подпункте 37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выполненных мероприятий по созданию безопасных условий функционирования учреждения;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36) на цель, указанную в подпункте 38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мероприятий по комплектованию книжных фондов библиотек;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37) на цель, указанную в подпункте 39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технически оснащенных муниципальных музеев;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38) на цель, указанную в подпункте 40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проведенных мероприятий по укреплению склона Комсомольского пруда с элементами благоустройства для отдыха в городе Ставрополе;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2810510</wp:posOffset>
                </wp:positionH>
                <wp:positionV relativeFrom="paragraph">
                  <wp:posOffset>-822325</wp:posOffset>
                </wp:positionV>
                <wp:extent cx="469265" cy="381635"/>
                <wp:effectExtent l="6985" t="6350" r="6350" b="7620"/>
                <wp:wrapNone/>
                <wp:docPr id="4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40" cy="381600"/>
                        </a:xfrm>
                        <a:custGeom>
                          <a:avLst/>
                          <a:gdLst>
                            <a:gd name="textAreaLeft" fmla="*/ 0 w 266040"/>
                            <a:gd name="textAreaRight" fmla="*/ 266400 w 266040"/>
                            <a:gd name="textAreaTop" fmla="*/ 0 h 216360"/>
                            <a:gd name="textAreaBottom" fmla="*/ 216720 h 2163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pacing w:before="0" w:after="20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sz w:val="28"/>
        </w:rPr>
        <w:t>39) на цель, указанную в подпункте 41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созданных виртуальных концертных залов;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40) на цель указанную в подпункте 42 пункта 2 настоящего Порядка:</w:t>
      </w:r>
    </w:p>
    <w:p>
      <w:pPr>
        <w:pStyle w:val="Normal"/>
        <w:widowControl w:val="false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выездных мероприятий за предел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города Ставрополя с целью популяризации культуры Ставрополья, развития сотрудничества с другими </w:t>
      </w:r>
      <w:r>
        <w:rPr>
          <w:rFonts w:ascii="Times New Roman" w:hAnsi="Times New Roman"/>
          <w:sz w:val="28"/>
        </w:rPr>
        <w:t>регионами</w:t>
      </w:r>
      <w:r>
        <w:rPr>
          <w:rFonts w:ascii="Times New Roman" w:hAnsi="Times New Roman"/>
          <w:sz w:val="28"/>
        </w:rPr>
        <w:t xml:space="preserve"> Российской Федерации и зарубежь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>.».</w:t>
      </w:r>
    </w:p>
    <w:p>
      <w:pPr>
        <w:pStyle w:val="Normal"/>
        <w:widowControl w:val="false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567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985" w:leader="none"/>
          <w:tab w:val="center" w:pos="4536" w:leader="none"/>
        </w:tabs>
        <w:spacing w:lineRule="auto" w:line="240" w:before="0" w:after="0"/>
        <w:ind w:firstLine="567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ind w:firstLine="567" w:left="0" w:right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ind w:firstLine="567" w:left="0" w:right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5102" w:leader="none"/>
        </w:tabs>
        <w:spacing w:lineRule="auto" w:line="240" w:before="0" w:after="0"/>
        <w:ind w:firstLine="567" w:left="0" w:right="0"/>
        <w:jc w:val="both"/>
        <w:rPr/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985" w:right="567" w:gutter="0" w:header="709" w:top="766" w:footer="0" w:bottom="1134"/>
      <w:pgNumType w:start="0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7">
    <w:name w:val="Оглавление 7 Знак"/>
    <w:link w:val="71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List1">
    <w:name w:val="List1"/>
    <w:basedOn w:val="Textbody"/>
    <w:qFormat/>
    <w:rPr/>
  </w:style>
  <w:style w:type="character" w:styleId="8">
    <w:name w:val="Оглавление 8 Знак"/>
    <w:link w:val="81"/>
    <w:qFormat/>
    <w:rPr>
      <w:rFonts w:ascii="XO Thames" w:hAnsi="XO Thames"/>
      <w:sz w:val="28"/>
    </w:rPr>
  </w:style>
  <w:style w:type="character" w:styleId="1">
    <w:name w:val="Обычный1"/>
    <w:link w:val="121"/>
    <w:qFormat/>
    <w:rPr>
      <w:rFonts w:ascii="Calibri" w:hAnsi="Calibri" w:asciiTheme="minorAscii" w:hAnsiTheme="minorHAnsi"/>
      <w:color w:val="000000"/>
      <w:sz w:val="22"/>
    </w:rPr>
  </w:style>
  <w:style w:type="character" w:styleId="Endnote">
    <w:name w:val="Endnote"/>
    <w:link w:val="Endnote2"/>
    <w:qFormat/>
    <w:rPr>
      <w:rFonts w:ascii="XO Thames" w:hAnsi="XO Thames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11">
    <w:name w:val="Оглавление 1 Знак"/>
    <w:link w:val="115"/>
    <w:qFormat/>
    <w:rPr>
      <w:rFonts w:ascii="XO Thames" w:hAnsi="XO Thames"/>
      <w:b/>
      <w:sz w:val="28"/>
    </w:rPr>
  </w:style>
  <w:style w:type="character" w:styleId="Footer1">
    <w:name w:val="Footer1"/>
    <w:qFormat/>
    <w:rPr/>
  </w:style>
  <w:style w:type="character" w:styleId="12">
    <w:name w:val="Заголовок 1 Знак"/>
    <w:basedOn w:val="112"/>
    <w:link w:val="116"/>
    <w:qFormat/>
    <w:rPr>
      <w:rFonts w:ascii="Times New Roman" w:hAnsi="Times New Roman"/>
      <w:b/>
      <w:sz w:val="48"/>
    </w:rPr>
  </w:style>
  <w:style w:type="character" w:styleId="5">
    <w:name w:val="Заголовок 5 Знак"/>
    <w:link w:val="511"/>
    <w:qFormat/>
    <w:rPr>
      <w:rFonts w:ascii="XO Thames" w:hAnsi="XO Thames"/>
      <w:b/>
    </w:rPr>
  </w:style>
  <w:style w:type="character" w:styleId="Endnote1">
    <w:name w:val="Endnote1"/>
    <w:link w:val="Endnote11"/>
    <w:qFormat/>
    <w:rPr>
      <w:rFonts w:ascii="XO Thames" w:hAnsi="XO Thames"/>
    </w:rPr>
  </w:style>
  <w:style w:type="character" w:styleId="ListParagraph">
    <w:name w:val="List Paragraph"/>
    <w:link w:val="ListParagraph1"/>
    <w:qFormat/>
    <w:rPr>
      <w:rFonts w:ascii="Times New Roman" w:hAnsi="Times New Roman"/>
      <w:sz w:val="24"/>
    </w:rPr>
  </w:style>
  <w:style w:type="character" w:styleId="Annotationsubject">
    <w:name w:val="annotation subject"/>
    <w:basedOn w:val="Annotationtext"/>
    <w:link w:val="Annotationsubject1"/>
    <w:qFormat/>
    <w:rPr>
      <w:b/>
    </w:rPr>
  </w:style>
  <w:style w:type="character" w:styleId="111">
    <w:name w:val="Знак примечания11"/>
    <w:basedOn w:val="114"/>
    <w:link w:val="1111"/>
    <w:qFormat/>
    <w:rPr>
      <w:sz w:val="16"/>
    </w:rPr>
  </w:style>
  <w:style w:type="character" w:styleId="ConsPlusTitle1">
    <w:name w:val="ConsPlusTitle1"/>
    <w:link w:val="ConsPlusTitle11"/>
    <w:qFormat/>
    <w:rPr>
      <w:b/>
    </w:rPr>
  </w:style>
  <w:style w:type="character" w:styleId="112">
    <w:name w:val="Обычный11"/>
    <w:link w:val="1112"/>
    <w:qFormat/>
    <w:rPr/>
  </w:style>
  <w:style w:type="character" w:styleId="Style9">
    <w:name w:val="Подзаголовок Знак"/>
    <w:link w:val="17"/>
    <w:qFormat/>
    <w:rPr>
      <w:rFonts w:ascii="XO Thames" w:hAnsi="XO Thames"/>
      <w:i/>
      <w:sz w:val="24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3">
    <w:name w:val="Заголовок 3 Знак"/>
    <w:link w:val="311"/>
    <w:qFormat/>
    <w:rPr>
      <w:rFonts w:ascii="XO Thames" w:hAnsi="XO Thames"/>
      <w:b/>
      <w:sz w:val="26"/>
    </w:rPr>
  </w:style>
  <w:style w:type="character" w:styleId="13">
    <w:name w:val="Основной шрифт абзаца1"/>
    <w:link w:val="122"/>
    <w:qFormat/>
    <w:rPr/>
  </w:style>
  <w:style w:type="character" w:styleId="113">
    <w:name w:val="Гиперссылка11"/>
    <w:basedOn w:val="114"/>
    <w:link w:val="1113"/>
    <w:qFormat/>
    <w:rPr>
      <w:color w:val="0000FF"/>
      <w:u w:val="single"/>
    </w:rPr>
  </w:style>
  <w:style w:type="character" w:styleId="Textbody">
    <w:name w:val="Text body"/>
    <w:qFormat/>
    <w:rPr/>
  </w:style>
  <w:style w:type="character" w:styleId="Style10">
    <w:name w:val="Нижний колонтитул Знак"/>
    <w:basedOn w:val="112"/>
    <w:link w:val="18"/>
    <w:qFormat/>
    <w:rPr/>
  </w:style>
  <w:style w:type="character" w:styleId="14">
    <w:name w:val="Гиперссылка1"/>
    <w:link w:val="123"/>
    <w:qFormat/>
    <w:rPr>
      <w:color w:val="0000FF"/>
      <w:u w:val="single"/>
    </w:rPr>
  </w:style>
  <w:style w:type="character" w:styleId="31">
    <w:name w:val="Оглавление 3 Знак"/>
    <w:link w:val="312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114">
    <w:name w:val="Основной шрифт абзаца11"/>
    <w:link w:val="1114"/>
    <w:qFormat/>
    <w:rPr/>
  </w:style>
  <w:style w:type="character" w:styleId="Heading11">
    <w:name w:val="Heading 11"/>
    <w:qFormat/>
    <w:rPr>
      <w:rFonts w:ascii="Times New Roman" w:hAnsi="Times New Roman"/>
      <w:b/>
      <w:sz w:val="48"/>
    </w:rPr>
  </w:style>
  <w:style w:type="character" w:styleId="Indexheading">
    <w:name w:val="index heading"/>
    <w:link w:val="Indexheading1"/>
    <w:qFormat/>
    <w:rPr/>
  </w:style>
  <w:style w:type="character" w:styleId="Style11">
    <w:name w:val="Колонтитул"/>
    <w:link w:val="16"/>
    <w:qFormat/>
    <w:rPr>
      <w:rFonts w:ascii="XO Thames" w:hAnsi="XO Thames"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2">
    <w:name w:val="Гиперссылка2"/>
    <w:link w:val="211"/>
    <w:qFormat/>
    <w:rPr>
      <w:rFonts w:ascii="Calibri" w:hAnsi="Calibri"/>
      <w:color w:val="0000FF"/>
      <w:u w:val="single"/>
    </w:rPr>
  </w:style>
  <w:style w:type="character" w:styleId="21">
    <w:name w:val="Оглавление 2 Знак"/>
    <w:link w:val="212"/>
    <w:qFormat/>
    <w:rPr>
      <w:rFonts w:ascii="XO Thames" w:hAnsi="XO Thames"/>
      <w:sz w:val="28"/>
    </w:rPr>
  </w:style>
  <w:style w:type="character" w:styleId="Footnote1">
    <w:name w:val="Footnote1"/>
    <w:link w:val="Footnote11"/>
    <w:qFormat/>
    <w:rPr>
      <w:rFonts w:ascii="XO Thames" w:hAnsi="XO Thames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51">
    <w:name w:val="Оглавление 5 Знак"/>
    <w:link w:val="512"/>
    <w:qFormat/>
    <w:rPr>
      <w:rFonts w:ascii="XO Thames" w:hAnsi="XO Thames"/>
      <w:sz w:val="28"/>
    </w:rPr>
  </w:style>
  <w:style w:type="character" w:styleId="6">
    <w:name w:val="Оглавление 6 Знак"/>
    <w:link w:val="61"/>
    <w:qFormat/>
    <w:rPr>
      <w:rFonts w:ascii="XO Thames" w:hAnsi="XO Thames"/>
      <w:sz w:val="28"/>
    </w:rPr>
  </w:style>
  <w:style w:type="character" w:styleId="Style12">
    <w:name w:val="Верхний колонтитул Знак"/>
    <w:basedOn w:val="112"/>
    <w:link w:val="19"/>
    <w:qFormat/>
    <w:rPr>
      <w:rFonts w:ascii="Times New Roman" w:hAnsi="Times New Roman"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aption1">
    <w:name w:val="Caption1"/>
    <w:qFormat/>
    <w:rPr>
      <w:i/>
      <w:sz w:val="24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Header1">
    <w:name w:val="Header1"/>
    <w:qFormat/>
    <w:rPr>
      <w:rFonts w:ascii="Times New Roman" w:hAnsi="Times New Roman"/>
      <w:sz w:val="24"/>
    </w:rPr>
  </w:style>
  <w:style w:type="character" w:styleId="Style13">
    <w:name w:val="Заголовок"/>
    <w:link w:val="15"/>
    <w:qFormat/>
    <w:rPr>
      <w:rFonts w:ascii="Liberation Sans" w:hAnsi="Liberation San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4">
    <w:name w:val="Заголовок 4 Знак"/>
    <w:link w:val="411"/>
    <w:qFormat/>
    <w:rPr>
      <w:rFonts w:ascii="XO Thames" w:hAnsi="XO Thames"/>
      <w:b/>
      <w:sz w:val="24"/>
    </w:rPr>
  </w:style>
  <w:style w:type="character" w:styleId="22">
    <w:name w:val="Заголовок 2 Знак"/>
    <w:link w:val="213"/>
    <w:qFormat/>
    <w:rPr>
      <w:rFonts w:ascii="XO Thames" w:hAnsi="XO Thames"/>
      <w:b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4">
    <w:name w:val="Название Знак"/>
    <w:link w:val="110"/>
    <w:qFormat/>
    <w:rPr>
      <w:rFonts w:ascii="XO Thames" w:hAnsi="XO Thames"/>
      <w:b/>
      <w:caps/>
      <w:sz w:val="40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Annotationtext">
    <w:name w:val="annotation text"/>
    <w:link w:val="Annotationtext1"/>
    <w:qFormat/>
    <w:rPr>
      <w:sz w:val="20"/>
    </w:rPr>
  </w:style>
  <w:style w:type="character" w:styleId="HTMLPreformatted">
    <w:name w:val="HTML Preformatted"/>
    <w:link w:val="HTMLPreformatted1"/>
    <w:qFormat/>
    <w:rPr>
      <w:rFonts w:ascii="Courier New" w:hAnsi="Courier New"/>
      <w:sz w:val="20"/>
    </w:rPr>
  </w:style>
  <w:style w:type="character" w:styleId="41">
    <w:name w:val="Оглавление 4 Знак"/>
    <w:link w:val="412"/>
    <w:qFormat/>
    <w:rPr>
      <w:rFonts w:ascii="XO Thames" w:hAnsi="XO Thames"/>
      <w:sz w:val="28"/>
    </w:rPr>
  </w:style>
  <w:style w:type="character" w:styleId="9">
    <w:name w:val="Оглавление 9 Знак"/>
    <w:link w:val="91"/>
    <w:qFormat/>
    <w:rPr>
      <w:rFonts w:ascii="XO Thames" w:hAnsi="XO Thames"/>
      <w:sz w:val="28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ConsPlusNormal1">
    <w:name w:val="ConsPlusNormal1"/>
    <w:link w:val="ConsPlusNormal11"/>
    <w:qFormat/>
    <w:rPr>
      <w:rFonts w:ascii="Arial" w:hAnsi="Arial"/>
      <w:sz w:val="20"/>
    </w:rPr>
  </w:style>
  <w:style w:type="paragraph" w:styleId="15">
    <w:name w:val="Заголовок1"/>
    <w:basedOn w:val="Normal"/>
    <w:next w:val="BodyText"/>
    <w:link w:val="Style13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1">
    <w:name w:val="Оглавление 7 Знак1"/>
    <w:link w:val="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Оглавление 8 Знак1"/>
    <w:link w:val="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1">
    <w:name w:val="Обычный12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asciiTheme="minorAscii" w:hAnsiTheme="minorHAns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Оглавление 1 Знак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Колонтитул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6">
    <w:name w:val="Заголовок 1 Знак1"/>
    <w:basedOn w:val="1112"/>
    <w:link w:val="12"/>
    <w:qFormat/>
    <w:pPr/>
    <w:rPr>
      <w:rFonts w:ascii="Times New Roman" w:hAnsi="Times New Roman"/>
      <w:b/>
      <w:sz w:val="48"/>
    </w:rPr>
  </w:style>
  <w:style w:type="paragraph" w:styleId="511">
    <w:name w:val="Заголовок 5 Знак1"/>
    <w:link w:val="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1">
    <w:name w:val="Endnote11"/>
    <w:link w:val="Endnote1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spacing w:lineRule="auto" w:line="240" w:before="0" w:after="0"/>
      <w:ind w:hanging="0" w:left="720"/>
      <w:contextualSpacing/>
    </w:pPr>
    <w:rPr>
      <w:rFonts w:ascii="Times New Roman" w:hAnsi="Times New Roman"/>
      <w:sz w:val="24"/>
    </w:rPr>
  </w:style>
  <w:style w:type="paragraph" w:styleId="Annotationsubject1">
    <w:name w:val="annotation subject1"/>
    <w:basedOn w:val="Annotationtext1"/>
    <w:next w:val="Annotationtext1"/>
    <w:link w:val="Annotationsubject"/>
    <w:qFormat/>
    <w:pPr/>
    <w:rPr>
      <w:b/>
    </w:rPr>
  </w:style>
  <w:style w:type="paragraph" w:styleId="1111">
    <w:name w:val="Знак примечания111"/>
    <w:basedOn w:val="1114"/>
    <w:link w:val="111"/>
    <w:qFormat/>
    <w:pPr/>
    <w:rPr>
      <w:sz w:val="16"/>
    </w:rPr>
  </w:style>
  <w:style w:type="paragraph" w:styleId="ConsPlusTitle11">
    <w:name w:val="ConsPlusTitle11"/>
    <w:link w:val="ConsPlusTitle1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2">
    <w:name w:val="Обычный111"/>
    <w:link w:val="112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Подзаголовок Знак1"/>
    <w:link w:val="Style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">
    <w:name w:val="Заголовок 3 Знак1"/>
    <w:link w:val="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2">
    <w:name w:val="Основной шрифт абзаца12"/>
    <w:link w:val="1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13">
    <w:name w:val="Гиперссылка111"/>
    <w:basedOn w:val="1114"/>
    <w:link w:val="113"/>
    <w:qFormat/>
    <w:pPr/>
    <w:rPr>
      <w:color w:val="0000FF"/>
      <w:u w:val="single"/>
    </w:rPr>
  </w:style>
  <w:style w:type="paragraph" w:styleId="18">
    <w:name w:val="Нижний колонтитул Знак1"/>
    <w:basedOn w:val="1112"/>
    <w:link w:val="Style10"/>
    <w:qFormat/>
    <w:pPr/>
    <w:rPr/>
  </w:style>
  <w:style w:type="paragraph" w:styleId="123">
    <w:name w:val="Гиперссылка12"/>
    <w:link w:val="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312">
    <w:name w:val="Оглавление 3 Знак1"/>
    <w:link w:val="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4">
    <w:name w:val="Основной шрифт абзаца111"/>
    <w:link w:val="114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">
    <w:name w:val="index heading1"/>
    <w:basedOn w:val="Normal"/>
    <w:link w:val="Indexheading"/>
    <w:qFormat/>
    <w:pPr/>
    <w:rPr/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Гиперссылка21"/>
    <w:link w:val="2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Droid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212">
    <w:name w:val="Оглавление 2 Знак1"/>
    <w:link w:val="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2">
    <w:name w:val="Оглавление 5 Знак1"/>
    <w:link w:val="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Оглавление 6 Знак1"/>
    <w:link w:val="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Верхний колонтитул Знак1"/>
    <w:basedOn w:val="1112"/>
    <w:link w:val="Style12"/>
    <w:qFormat/>
    <w:pPr/>
    <w:rPr>
      <w:rFonts w:ascii="Times New Roman" w:hAnsi="Times New Roman"/>
      <w:sz w:val="24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4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411">
    <w:name w:val="Заголовок 4 Знак1"/>
    <w:link w:val="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13">
    <w:name w:val="Заголовок 2 Знак1"/>
    <w:link w:val="2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0">
    <w:name w:val="Название Знак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Annotationtext1">
    <w:name w:val="annotation text1"/>
    <w:basedOn w:val="Normal"/>
    <w:link w:val="Annotationtext"/>
    <w:qFormat/>
    <w:pPr>
      <w:spacing w:lineRule="auto" w:line="240"/>
    </w:pPr>
    <w:rPr>
      <w:sz w:val="20"/>
    </w:rPr>
  </w:style>
  <w:style w:type="paragraph" w:styleId="HTMLPreformatted1">
    <w:name w:val="HTML Preformatted1"/>
    <w:basedOn w:val="Normal"/>
    <w:link w:val="HTMLPreformatted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/>
      <w:sz w:val="20"/>
    </w:rPr>
  </w:style>
  <w:style w:type="paragraph" w:styleId="412">
    <w:name w:val="Оглавление 4 Знак1"/>
    <w:link w:val="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1">
    <w:name w:val="Оглавление 9 Знак1"/>
    <w:link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1">
    <w:name w:val="ConsPlusNormal11"/>
    <w:link w:val="ConsPlusNormal1"/>
    <w:qFormat/>
    <w:pPr>
      <w:widowControl w:val="fals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Содержимое врезки"/>
    <w:basedOn w:val="Normal"/>
    <w:qFormat/>
    <w:pPr/>
    <w:rPr/>
  </w:style>
  <w:style w:type="table" w:default="1" w:styleId="Style_67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LibreOffice/7.6.4.1$Linux_X86_64 LibreOffice_project/60$Build-1</Application>
  <AppVersion>15.0000</AppVersion>
  <Pages>6</Pages>
  <Words>1484</Words>
  <Characters>10584</Characters>
  <CharactersWithSpaces>12166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2024-05-13T15:44:52Z</cp:lastPrinted>
  <dcterms:modified xsi:type="dcterms:W3CDTF">2024-05-13T15:55:04Z</dcterms:modified>
  <cp:revision>1</cp:revision>
  <dc:subject/>
  <dc:title/>
</cp:coreProperties>
</file>